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71" w:rsidRPr="00292571" w:rsidRDefault="00292571" w:rsidP="0029257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FF6600"/>
          <w:sz w:val="33"/>
          <w:szCs w:val="33"/>
        </w:rPr>
      </w:pPr>
      <w:proofErr w:type="spellStart"/>
      <w:r w:rsidRPr="00292571">
        <w:rPr>
          <w:rFonts w:ascii="Arial" w:eastAsia="Times New Roman" w:hAnsi="Arial" w:cs="Arial"/>
          <w:color w:val="FF6600"/>
          <w:sz w:val="33"/>
          <w:szCs w:val="33"/>
        </w:rPr>
        <w:t>Belimo</w:t>
      </w:r>
      <w:proofErr w:type="spellEnd"/>
      <w:r w:rsidRPr="00292571">
        <w:rPr>
          <w:rFonts w:ascii="Arial" w:eastAsia="Times New Roman" w:hAnsi="Arial" w:cs="Arial"/>
          <w:color w:val="FF6600"/>
          <w:sz w:val="33"/>
          <w:szCs w:val="33"/>
        </w:rPr>
        <w:t xml:space="preserve"> Energy Valve™</w:t>
      </w:r>
    </w:p>
    <w:p w:rsidR="00292571" w:rsidRPr="00292571" w:rsidRDefault="00292571" w:rsidP="00292571">
      <w:pPr>
        <w:numPr>
          <w:ilvl w:val="0"/>
          <w:numId w:val="1"/>
        </w:numPr>
        <w:shd w:val="clear" w:color="auto" w:fill="FFFFFF"/>
        <w:spacing w:after="0" w:line="240" w:lineRule="auto"/>
        <w:ind w:left="21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92571">
        <w:rPr>
          <w:rFonts w:ascii="Arial" w:eastAsia="Times New Roman" w:hAnsi="Arial" w:cs="Arial"/>
          <w:b/>
          <w:bCs/>
          <w:color w:val="000000"/>
          <w:sz w:val="18"/>
          <w:szCs w:val="18"/>
        </w:rPr>
        <w:t>Measures Energy</w:t>
      </w:r>
      <w:r w:rsidRPr="00292571">
        <w:rPr>
          <w:rFonts w:ascii="Arial" w:eastAsia="Times New Roman" w:hAnsi="Arial" w:cs="Arial"/>
          <w:color w:val="000000"/>
          <w:sz w:val="18"/>
          <w:szCs w:val="18"/>
        </w:rPr>
        <w:t> The integrated BTU meter provides accurate coil performance. The data is used to verify system performance during commissioning and act as a baseline standard for system performance over time. This feature contributes to LEED points.</w:t>
      </w:r>
    </w:p>
    <w:p w:rsidR="00292571" w:rsidRPr="00292571" w:rsidRDefault="00292571" w:rsidP="00292571">
      <w:pPr>
        <w:numPr>
          <w:ilvl w:val="0"/>
          <w:numId w:val="1"/>
        </w:numPr>
        <w:shd w:val="clear" w:color="auto" w:fill="FFFFFF"/>
        <w:spacing w:after="0" w:line="240" w:lineRule="auto"/>
        <w:ind w:left="21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92571">
        <w:rPr>
          <w:rFonts w:ascii="Arial" w:eastAsia="Times New Roman" w:hAnsi="Arial" w:cs="Arial"/>
          <w:b/>
          <w:bCs/>
          <w:color w:val="000000"/>
          <w:sz w:val="18"/>
          <w:szCs w:val="18"/>
        </w:rPr>
        <w:t>Controls Power</w:t>
      </w:r>
      <w:r w:rsidRPr="00292571">
        <w:rPr>
          <w:rFonts w:ascii="Arial" w:eastAsia="Times New Roman" w:hAnsi="Arial" w:cs="Arial"/>
          <w:color w:val="000000"/>
          <w:sz w:val="18"/>
          <w:szCs w:val="18"/>
        </w:rPr>
        <w:t> The built-in Power Control logic provides a linear heat transfer regardless of system temperature variations offering precise energy control. This mode improves comfort and allows for load shedding.</w:t>
      </w:r>
    </w:p>
    <w:p w:rsidR="00292571" w:rsidRPr="00292571" w:rsidRDefault="00292571" w:rsidP="00292571">
      <w:pPr>
        <w:numPr>
          <w:ilvl w:val="0"/>
          <w:numId w:val="1"/>
        </w:numPr>
        <w:shd w:val="clear" w:color="auto" w:fill="FFFFFF"/>
        <w:spacing w:after="0" w:line="240" w:lineRule="auto"/>
        <w:ind w:left="21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92571">
        <w:rPr>
          <w:rFonts w:ascii="Arial" w:eastAsia="Times New Roman" w:hAnsi="Arial" w:cs="Arial"/>
          <w:b/>
          <w:bCs/>
          <w:color w:val="000000"/>
          <w:sz w:val="18"/>
          <w:szCs w:val="18"/>
        </w:rPr>
        <w:t>Manages Delta T</w:t>
      </w:r>
      <w:r w:rsidRPr="00292571">
        <w:rPr>
          <w:rFonts w:ascii="Arial" w:eastAsia="Times New Roman" w:hAnsi="Arial" w:cs="Arial"/>
          <w:color w:val="000000"/>
          <w:sz w:val="18"/>
          <w:szCs w:val="18"/>
        </w:rPr>
        <w:t xml:space="preserve"> The </w:t>
      </w:r>
      <w:proofErr w:type="spellStart"/>
      <w:r w:rsidRPr="00292571">
        <w:rPr>
          <w:rFonts w:ascii="Arial" w:eastAsia="Times New Roman" w:hAnsi="Arial" w:cs="Arial"/>
          <w:color w:val="000000"/>
          <w:sz w:val="18"/>
          <w:szCs w:val="18"/>
        </w:rPr>
        <w:t>Belimo</w:t>
      </w:r>
      <w:proofErr w:type="spellEnd"/>
      <w:r w:rsidRPr="00292571">
        <w:rPr>
          <w:rFonts w:ascii="Arial" w:eastAsia="Times New Roman" w:hAnsi="Arial" w:cs="Arial"/>
          <w:color w:val="000000"/>
          <w:sz w:val="18"/>
          <w:szCs w:val="18"/>
        </w:rPr>
        <w:t xml:space="preserve"> Delta T Manager™ algorithm monitors the coil performance and optimizes the available energy of the coil by maintaining the Delta T. This solves low delta T syndrome.</w:t>
      </w:r>
    </w:p>
    <w:p w:rsidR="00292571" w:rsidRDefault="00292571" w:rsidP="00292571">
      <w:pPr>
        <w:pStyle w:val="Heading3"/>
        <w:shd w:val="clear" w:color="auto" w:fill="FFFFFF"/>
        <w:spacing w:before="390" w:after="1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Applications</w:t>
      </w:r>
    </w:p>
    <w:p w:rsidR="00292571" w:rsidRDefault="00292571" w:rsidP="0029257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The Energy Valve is a two-way pressure independent valve that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optimizes,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documents and proves water coil performance. Using the Electronic Pressure Independent Valve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ePIV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platform, the Energy Valve measures the coil energy using an embedded electromagnetic or ultrasonic flow sensor, water supply, and return temperature sensors. The Energy Valve is ideal for water-side control of heating and cooling systems for AHUs and any water coil (equal percentage: heating/cooling application).</w:t>
      </w:r>
    </w:p>
    <w:p w:rsidR="000444B8" w:rsidRDefault="0093150D"/>
    <w:p w:rsidR="00292571" w:rsidRDefault="00292571" w:rsidP="00292571">
      <w:pPr>
        <w:pStyle w:val="Heading4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Non-Spring</w:t>
      </w:r>
      <w:r>
        <w:rPr>
          <w:rFonts w:ascii="Arial" w:hAnsi="Arial" w:cs="Arial"/>
          <w:b w:val="0"/>
          <w:bCs w:val="0"/>
          <w:color w:val="000000"/>
          <w:sz w:val="30"/>
          <w:szCs w:val="30"/>
        </w:rPr>
        <w:br/>
        <w:t>Return</w:t>
      </w:r>
    </w:p>
    <w:p w:rsidR="00292571" w:rsidRDefault="00292571" w:rsidP="00292571">
      <w:pPr>
        <w:pStyle w:val="Heading5"/>
        <w:shd w:val="clear" w:color="auto" w:fill="FFFFFF"/>
        <w:spacing w:before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Valve Sizes: ½” - 6”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  <w:t>ANSI 125 or ANSI 250 2½” - 6”</w:t>
      </w:r>
    </w:p>
    <w:p w:rsidR="00292571" w:rsidRDefault="00292571" w:rsidP="00292571">
      <w:r>
        <w:rPr>
          <w:noProof/>
        </w:rPr>
        <w:drawing>
          <wp:inline distT="0" distB="0" distL="0" distR="0">
            <wp:extent cx="2276475" cy="2930785"/>
            <wp:effectExtent l="0" t="0" r="0" b="0"/>
            <wp:docPr id="1" name="Picture 1" descr="http://www.belimo.us/americas/images/product_thumbs/energy_valves/EnergyValve_bo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limo.us/americas/images/product_thumbs/energy_valves/EnergyValve_bot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026" cy="293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76625" cy="2190750"/>
            <wp:effectExtent l="0" t="0" r="9525" b="0"/>
            <wp:docPr id="2" name="Picture 2" descr="http://www.belimo.us/belimo/images/landing_pages/Energy_Valve_landing_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elimo.us/belimo/images/landing_pages/Energy_Valve_landing_p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571" w:rsidRPr="00292571" w:rsidRDefault="00292571" w:rsidP="00292571"/>
    <w:p w:rsidR="00292571" w:rsidRDefault="00292571" w:rsidP="00292571"/>
    <w:p w:rsidR="00292571" w:rsidRDefault="00292571" w:rsidP="00292571">
      <w:pPr>
        <w:pStyle w:val="Heading4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lastRenderedPageBreak/>
        <w:t>Electronic</w:t>
      </w:r>
      <w:r>
        <w:rPr>
          <w:rFonts w:ascii="Arial" w:hAnsi="Arial" w:cs="Arial"/>
          <w:b w:val="0"/>
          <w:bCs w:val="0"/>
          <w:color w:val="000000"/>
          <w:sz w:val="30"/>
          <w:szCs w:val="30"/>
        </w:rPr>
        <w:br/>
        <w:t>Fail-Safe</w:t>
      </w:r>
    </w:p>
    <w:p w:rsidR="00292571" w:rsidRDefault="00292571" w:rsidP="00292571">
      <w:pPr>
        <w:pStyle w:val="Heading5"/>
        <w:shd w:val="clear" w:color="auto" w:fill="FFFFFF"/>
        <w:spacing w:before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Valve Sizes: ½” - 6”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  <w:t>ANSI 125 or ANSI 250 2½” - 6”</w:t>
      </w:r>
    </w:p>
    <w:p w:rsidR="00292571" w:rsidRPr="00292571" w:rsidRDefault="00292571" w:rsidP="00292571">
      <w:bookmarkStart w:id="0" w:name="_GoBack"/>
      <w:bookmarkEnd w:id="0"/>
    </w:p>
    <w:sectPr w:rsidR="00292571" w:rsidRPr="00292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6F77"/>
    <w:multiLevelType w:val="multilevel"/>
    <w:tmpl w:val="065E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71"/>
    <w:rsid w:val="00292571"/>
    <w:rsid w:val="0093150D"/>
    <w:rsid w:val="00B0582A"/>
    <w:rsid w:val="00E5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25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5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5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5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257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92571"/>
    <w:rPr>
      <w:b/>
      <w:bCs/>
    </w:rPr>
  </w:style>
  <w:style w:type="character" w:customStyle="1" w:styleId="apple-converted-space">
    <w:name w:val="apple-converted-space"/>
    <w:basedOn w:val="DefaultParagraphFont"/>
    <w:rsid w:val="00292571"/>
  </w:style>
  <w:style w:type="character" w:customStyle="1" w:styleId="Heading3Char">
    <w:name w:val="Heading 3 Char"/>
    <w:basedOn w:val="DefaultParagraphFont"/>
    <w:link w:val="Heading3"/>
    <w:uiPriority w:val="9"/>
    <w:semiHidden/>
    <w:rsid w:val="002925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29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5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5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25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5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5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5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257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92571"/>
    <w:rPr>
      <w:b/>
      <w:bCs/>
    </w:rPr>
  </w:style>
  <w:style w:type="character" w:customStyle="1" w:styleId="apple-converted-space">
    <w:name w:val="apple-converted-space"/>
    <w:basedOn w:val="DefaultParagraphFont"/>
    <w:rsid w:val="00292571"/>
  </w:style>
  <w:style w:type="character" w:customStyle="1" w:styleId="Heading3Char">
    <w:name w:val="Heading 3 Char"/>
    <w:basedOn w:val="DefaultParagraphFont"/>
    <w:link w:val="Heading3"/>
    <w:uiPriority w:val="9"/>
    <w:semiHidden/>
    <w:rsid w:val="002925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29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5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5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Phuc, Giap Trong (G.)</dc:creator>
  <cp:lastModifiedBy>Phuc, Giap Trong (G.)</cp:lastModifiedBy>
  <cp:revision>1</cp:revision>
  <dcterms:created xsi:type="dcterms:W3CDTF">2016-07-13T15:45:00Z</dcterms:created>
  <dcterms:modified xsi:type="dcterms:W3CDTF">2016-07-13T16:15:00Z</dcterms:modified>
</cp:coreProperties>
</file>